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</w:rPr>
        <w:drawing>
          <wp:inline distB="114300" distT="114300" distL="114300" distR="114300">
            <wp:extent cx="2174081" cy="8806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880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Problem Gambling Awareness Month</w:t>
        <w:br w:type="textWrapping"/>
        <w:t xml:space="preserve">Proclamation Sample Language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WHEREAS, the National Council on Problem Gambling (and any additional state/local sponsors) has designated March 2026 as Problem Gambling Awareness Month;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WHEREAS, problem gambling is a public health issue affecting millions of Americans of all ages, races, and ethnic backgrounds; 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WHEREAS, problem gambling has a significant societal and economic cost for individuals, families, businesses and communities;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WHEREAS, problem gambling is treatable, and treatment is effective in minimizing this harm to individuals, communities and society as a whole; 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WHEREAS, numerous individuals, professionals and organizations have dedicated their efforts to the education of the public about problem gambling and the availability and effectiveness of treatment; 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WHEREAS, the National Council on Problem Gambling, (list additional participating organizations) invite all residents of (city/state) to participate in Problem Gambling Awareness Month. 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THEREFORE, I, (name and title of official), do hereby proclaim the month of March 2026 as Problem Gambling Awareness Month in (city/state) and encourage all citizens to support the National Council on Problem Gambling (and any additional state/local sponsors) in their efforts to mitigate gambling-related harm nationwide.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 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and Title: 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