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6B5C" w14:textId="77777777" w:rsidR="00427A53" w:rsidRDefault="00427A53">
      <w:pPr>
        <w:rPr>
          <w:b/>
          <w:bCs/>
          <w:sz w:val="18"/>
          <w:szCs w:val="18"/>
        </w:rPr>
      </w:pPr>
    </w:p>
    <w:tbl>
      <w:tblPr>
        <w:tblStyle w:val="a"/>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0"/>
        <w:gridCol w:w="5000"/>
      </w:tblGrid>
      <w:tr w:rsidR="00427A53" w14:paraId="48237B64" w14:textId="77777777">
        <w:trPr>
          <w:jc w:val="center"/>
        </w:trPr>
        <w:tc>
          <w:tcPr>
            <w:tcW w:w="50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154D37" w14:textId="77777777" w:rsidR="00427A53" w:rsidRDefault="00000000">
            <w:pPr>
              <w:widowControl w:val="0"/>
              <w:pBdr>
                <w:top w:val="nil"/>
                <w:left w:val="nil"/>
                <w:bottom w:val="nil"/>
                <w:right w:val="nil"/>
                <w:between w:val="nil"/>
              </w:pBdr>
              <w:spacing w:line="240" w:lineRule="auto"/>
              <w:rPr>
                <w:b/>
                <w:bCs/>
                <w:sz w:val="18"/>
                <w:szCs w:val="18"/>
              </w:rPr>
            </w:pPr>
            <w:r>
              <w:rPr>
                <w:b/>
                <w:bCs/>
                <w:sz w:val="18"/>
                <w:szCs w:val="18"/>
              </w:rPr>
              <w:t>Your Logo Here</w:t>
            </w:r>
          </w:p>
        </w:tc>
        <w:tc>
          <w:tcPr>
            <w:tcW w:w="50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3FF193" w14:textId="77777777" w:rsidR="00427A53" w:rsidRDefault="00000000">
            <w:pPr>
              <w:widowControl w:val="0"/>
              <w:pBdr>
                <w:top w:val="nil"/>
                <w:left w:val="nil"/>
                <w:bottom w:val="nil"/>
                <w:right w:val="nil"/>
                <w:between w:val="nil"/>
              </w:pBdr>
              <w:spacing w:line="240" w:lineRule="auto"/>
              <w:rPr>
                <w:b/>
                <w:bCs/>
                <w:sz w:val="18"/>
                <w:szCs w:val="18"/>
              </w:rPr>
            </w:pPr>
            <w:r>
              <w:rPr>
                <w:b/>
                <w:bCs/>
                <w:noProof/>
                <w:sz w:val="18"/>
                <w:szCs w:val="18"/>
              </w:rPr>
              <w:drawing>
                <wp:inline distT="114300" distB="114300" distL="114300" distR="114300" wp14:anchorId="41DAC98C" wp14:editId="7A55E967">
                  <wp:extent cx="2426589" cy="1005840"/>
                  <wp:effectExtent l="0" t="0" r="0" b="381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4126" t="-5386" r="-3966" b="-5559"/>
                          <a:stretch>
                            <a:fillRect/>
                          </a:stretch>
                        </pic:blipFill>
                        <pic:spPr>
                          <a:xfrm>
                            <a:off x="0" y="0"/>
                            <a:ext cx="2426589" cy="1005840"/>
                          </a:xfrm>
                          <a:prstGeom prst="rect">
                            <a:avLst/>
                          </a:prstGeom>
                          <a:ln/>
                        </pic:spPr>
                      </pic:pic>
                    </a:graphicData>
                  </a:graphic>
                </wp:inline>
              </w:drawing>
            </w:r>
          </w:p>
        </w:tc>
      </w:tr>
    </w:tbl>
    <w:p w14:paraId="14418B9D" w14:textId="77777777" w:rsidR="00427A53" w:rsidRDefault="00000000">
      <w:pPr>
        <w:rPr>
          <w:sz w:val="18"/>
          <w:szCs w:val="18"/>
        </w:rPr>
      </w:pPr>
      <w:r>
        <w:rPr>
          <w:b/>
          <w:bCs/>
          <w:sz w:val="18"/>
          <w:szCs w:val="18"/>
        </w:rPr>
        <w:br/>
      </w:r>
      <w:r>
        <w:rPr>
          <w:b/>
          <w:bCs/>
          <w:sz w:val="18"/>
          <w:szCs w:val="18"/>
        </w:rPr>
        <w:br/>
        <w:t xml:space="preserve">FOR IMMEDIATE RELEASE </w:t>
      </w:r>
      <w:r>
        <w:rPr>
          <w:sz w:val="18"/>
          <w:szCs w:val="18"/>
        </w:rPr>
        <w:t xml:space="preserve"> </w:t>
      </w:r>
      <w:r>
        <w:rPr>
          <w:sz w:val="18"/>
          <w:szCs w:val="18"/>
        </w:rPr>
        <w:br/>
        <w:t xml:space="preserve">Date of Release </w:t>
      </w:r>
    </w:p>
    <w:p w14:paraId="3195C92C" w14:textId="77777777" w:rsidR="00427A53" w:rsidRDefault="00000000">
      <w:pPr>
        <w:rPr>
          <w:sz w:val="18"/>
          <w:szCs w:val="18"/>
        </w:rPr>
      </w:pPr>
      <w:r>
        <w:rPr>
          <w:sz w:val="18"/>
          <w:szCs w:val="18"/>
        </w:rPr>
        <w:br/>
      </w:r>
      <w:r>
        <w:rPr>
          <w:b/>
          <w:bCs/>
          <w:sz w:val="18"/>
          <w:szCs w:val="18"/>
        </w:rPr>
        <w:t>Contact: </w:t>
      </w:r>
      <w:r>
        <w:rPr>
          <w:sz w:val="18"/>
          <w:szCs w:val="18"/>
        </w:rPr>
        <w:t xml:space="preserve"> </w:t>
      </w:r>
    </w:p>
    <w:p w14:paraId="5A536D3B" w14:textId="77777777" w:rsidR="00427A53" w:rsidRDefault="00000000">
      <w:pPr>
        <w:rPr>
          <w:sz w:val="18"/>
          <w:szCs w:val="18"/>
        </w:rPr>
      </w:pPr>
      <w:r>
        <w:rPr>
          <w:sz w:val="18"/>
          <w:szCs w:val="18"/>
        </w:rPr>
        <w:t xml:space="preserve">Local Point of Contact </w:t>
      </w:r>
    </w:p>
    <w:p w14:paraId="4D925EE1" w14:textId="77777777" w:rsidR="00427A53" w:rsidRDefault="00000000">
      <w:pPr>
        <w:rPr>
          <w:sz w:val="18"/>
          <w:szCs w:val="18"/>
        </w:rPr>
      </w:pPr>
      <w:r>
        <w:rPr>
          <w:sz w:val="18"/>
          <w:szCs w:val="18"/>
        </w:rPr>
        <w:t xml:space="preserve">Local POC Phone Number </w:t>
      </w:r>
    </w:p>
    <w:p w14:paraId="034EAD8A" w14:textId="77777777" w:rsidR="00427A53" w:rsidRDefault="00000000">
      <w:pPr>
        <w:rPr>
          <w:sz w:val="17"/>
          <w:szCs w:val="17"/>
        </w:rPr>
      </w:pPr>
      <w:r>
        <w:rPr>
          <w:sz w:val="18"/>
          <w:szCs w:val="18"/>
        </w:rPr>
        <w:t>Local POC Email Address</w:t>
      </w:r>
      <w:r>
        <w:rPr>
          <w:sz w:val="18"/>
          <w:szCs w:val="18"/>
        </w:rPr>
        <w:br/>
      </w:r>
      <w:r>
        <w:rPr>
          <w:sz w:val="17"/>
          <w:szCs w:val="17"/>
        </w:rPr>
        <w:t xml:space="preserve"> </w:t>
      </w:r>
    </w:p>
    <w:p w14:paraId="7C644BC4" w14:textId="77777777" w:rsidR="00427A53" w:rsidRDefault="00000000">
      <w:pPr>
        <w:jc w:val="center"/>
        <w:rPr>
          <w:b/>
          <w:bCs/>
          <w:sz w:val="32"/>
          <w:szCs w:val="32"/>
        </w:rPr>
      </w:pPr>
      <w:r>
        <w:rPr>
          <w:b/>
          <w:bCs/>
          <w:sz w:val="32"/>
          <w:szCs w:val="32"/>
        </w:rPr>
        <w:t>March is Problem Gambling</w:t>
      </w:r>
    </w:p>
    <w:p w14:paraId="2EBB86BB" w14:textId="77777777" w:rsidR="00427A53" w:rsidRDefault="00000000">
      <w:pPr>
        <w:jc w:val="center"/>
        <w:rPr>
          <w:sz w:val="32"/>
          <w:szCs w:val="32"/>
        </w:rPr>
      </w:pPr>
      <w:r>
        <w:rPr>
          <w:b/>
          <w:bCs/>
          <w:sz w:val="32"/>
          <w:szCs w:val="32"/>
        </w:rPr>
        <w:t>Awareness Month</w:t>
      </w:r>
      <w:r>
        <w:rPr>
          <w:sz w:val="32"/>
          <w:szCs w:val="32"/>
        </w:rPr>
        <w:t xml:space="preserve"> </w:t>
      </w:r>
    </w:p>
    <w:p w14:paraId="6B2C8D52" w14:textId="77777777" w:rsidR="00427A53" w:rsidRDefault="00000000">
      <w:pPr>
        <w:spacing w:before="240" w:after="240"/>
        <w:rPr>
          <w:i/>
          <w:iCs/>
          <w:sz w:val="18"/>
          <w:szCs w:val="18"/>
        </w:rPr>
      </w:pPr>
      <w:r>
        <w:rPr>
          <w:b/>
          <w:bCs/>
          <w:sz w:val="18"/>
          <w:szCs w:val="18"/>
        </w:rPr>
        <w:t xml:space="preserve">CITY, </w:t>
      </w:r>
      <w:proofErr w:type="gramStart"/>
      <w:r>
        <w:rPr>
          <w:b/>
          <w:bCs/>
          <w:sz w:val="18"/>
          <w:szCs w:val="18"/>
        </w:rPr>
        <w:t>STATE</w:t>
      </w:r>
      <w:r>
        <w:rPr>
          <w:sz w:val="18"/>
          <w:szCs w:val="18"/>
        </w:rPr>
        <w:t xml:space="preserve"> — </w:t>
      </w:r>
      <w:r>
        <w:rPr>
          <w:i/>
          <w:iCs/>
          <w:sz w:val="18"/>
          <w:szCs w:val="18"/>
        </w:rPr>
        <w:t>(</w:t>
      </w:r>
      <w:proofErr w:type="gramEnd"/>
      <w:r>
        <w:rPr>
          <w:i/>
          <w:iCs/>
          <w:sz w:val="18"/>
          <w:szCs w:val="18"/>
        </w:rPr>
        <w:t>Organization Name)</w:t>
      </w:r>
      <w:r>
        <w:rPr>
          <w:sz w:val="18"/>
          <w:szCs w:val="18"/>
        </w:rPr>
        <w:t xml:space="preserve">, </w:t>
      </w:r>
      <w:r>
        <w:rPr>
          <w:color w:val="121212"/>
          <w:sz w:val="18"/>
          <w:szCs w:val="18"/>
        </w:rPr>
        <w:t xml:space="preserve">in partnership with the National Council on Problem Gambling (NCPG), recognizes March as </w:t>
      </w:r>
      <w:r>
        <w:rPr>
          <w:b/>
          <w:bCs/>
          <w:color w:val="121212"/>
          <w:sz w:val="18"/>
          <w:szCs w:val="18"/>
        </w:rPr>
        <w:t xml:space="preserve">Problem Gambling Awareness </w:t>
      </w:r>
      <w:proofErr w:type="gramStart"/>
      <w:r>
        <w:rPr>
          <w:b/>
          <w:bCs/>
          <w:color w:val="121212"/>
          <w:sz w:val="18"/>
          <w:szCs w:val="18"/>
        </w:rPr>
        <w:t xml:space="preserve">Month </w:t>
      </w:r>
      <w:r>
        <w:rPr>
          <w:b/>
          <w:bCs/>
          <w:sz w:val="18"/>
          <w:szCs w:val="18"/>
        </w:rPr>
        <w:t xml:space="preserve"> (</w:t>
      </w:r>
      <w:proofErr w:type="gramEnd"/>
      <w:r>
        <w:rPr>
          <w:b/>
          <w:bCs/>
          <w:sz w:val="18"/>
          <w:szCs w:val="18"/>
        </w:rPr>
        <w:t>PGAM)</w:t>
      </w:r>
      <w:r>
        <w:rPr>
          <w:sz w:val="18"/>
          <w:szCs w:val="18"/>
        </w:rPr>
        <w:t xml:space="preserve">. </w:t>
      </w:r>
      <w:r>
        <w:rPr>
          <w:color w:val="121212"/>
          <w:sz w:val="18"/>
          <w:szCs w:val="18"/>
        </w:rPr>
        <w:t xml:space="preserve">This year’s theme, </w:t>
      </w:r>
      <w:r>
        <w:rPr>
          <w:b/>
          <w:bCs/>
          <w:color w:val="121212"/>
          <w:sz w:val="18"/>
          <w:szCs w:val="18"/>
        </w:rPr>
        <w:t xml:space="preserve">“Caring Communities, Stronger Futures,” </w:t>
      </w:r>
      <w:r>
        <w:rPr>
          <w:color w:val="121212"/>
          <w:sz w:val="18"/>
          <w:szCs w:val="18"/>
        </w:rPr>
        <w:t>emphasizes the importance of a community-driven approach to problem gambling awareness and support. The annual campaign aims to increase public awareness of problem gambling and the availability of prevention, treatment, and recovery services, as well as encourage healthcare providers to screen for problem gambling and connect individuals to appropriate support.</w:t>
      </w:r>
      <w:r>
        <w:rPr>
          <w:sz w:val="18"/>
          <w:szCs w:val="18"/>
        </w:rPr>
        <w:br/>
      </w:r>
      <w:r>
        <w:rPr>
          <w:sz w:val="18"/>
          <w:szCs w:val="18"/>
        </w:rPr>
        <w:br/>
        <w:t xml:space="preserve">Problem gambling, defined as gambling behaviors that disrupt or damage personal, family, or professional lives, affects millions of Americans. In the U.S. 2.5 million adults (1%) are estimated to meet the criteria for a severe gambling problem </w:t>
      </w:r>
      <w:proofErr w:type="gramStart"/>
      <w:r>
        <w:rPr>
          <w:sz w:val="18"/>
          <w:szCs w:val="18"/>
        </w:rPr>
        <w:t>in a given year</w:t>
      </w:r>
      <w:proofErr w:type="gramEnd"/>
      <w:r>
        <w:rPr>
          <w:sz w:val="18"/>
          <w:szCs w:val="18"/>
        </w:rPr>
        <w:t xml:space="preserve">. Another 5–8 million (2–3%) are considered to have mild or moderate gambling problems. Additionally, in the past year, approximately 20 million American adults reported experiencing at least one indicator of problematic gambling behavior. </w:t>
      </w:r>
    </w:p>
    <w:p w14:paraId="27367761" w14:textId="77777777" w:rsidR="00427A53" w:rsidRDefault="00000000">
      <w:pPr>
        <w:spacing w:before="240" w:after="240"/>
        <w:rPr>
          <w:sz w:val="18"/>
          <w:szCs w:val="18"/>
        </w:rPr>
      </w:pPr>
      <w:r>
        <w:rPr>
          <w:b/>
          <w:bCs/>
          <w:i/>
          <w:iCs/>
          <w:sz w:val="18"/>
          <w:szCs w:val="18"/>
        </w:rPr>
        <w:t>(Insert a quote from a local leader or spokesperson.)</w:t>
      </w:r>
      <w:r>
        <w:rPr>
          <w:b/>
          <w:bCs/>
          <w:i/>
          <w:iCs/>
          <w:sz w:val="18"/>
          <w:szCs w:val="18"/>
        </w:rPr>
        <w:br/>
      </w:r>
      <w:r>
        <w:rPr>
          <w:sz w:val="18"/>
          <w:szCs w:val="18"/>
        </w:rPr>
        <w:t>Suggested quote framework:</w:t>
      </w:r>
    </w:p>
    <w:p w14:paraId="6F8E8FFD" w14:textId="77777777" w:rsidR="00427A53" w:rsidRDefault="00000000">
      <w:pPr>
        <w:spacing w:before="240" w:after="240"/>
        <w:ind w:left="600" w:right="600"/>
        <w:rPr>
          <w:sz w:val="18"/>
          <w:szCs w:val="18"/>
        </w:rPr>
      </w:pPr>
      <w:r>
        <w:rPr>
          <w:color w:val="121212"/>
          <w:sz w:val="18"/>
          <w:szCs w:val="18"/>
        </w:rPr>
        <w:t>“Our community isn’t defined by its challenges; it is defined by how we respond. When we come together with compassion, understanding, and proactive solutions, we can effectively address gambling-related harm and help shape stronger futures.”</w:t>
      </w:r>
      <w:r>
        <w:rPr>
          <w:sz w:val="18"/>
          <w:szCs w:val="18"/>
        </w:rPr>
        <w:t xml:space="preserve">  — </w:t>
      </w:r>
      <w:r>
        <w:rPr>
          <w:i/>
          <w:iCs/>
          <w:sz w:val="18"/>
          <w:szCs w:val="18"/>
        </w:rPr>
        <w:t>Name, Title</w:t>
      </w:r>
    </w:p>
    <w:p w14:paraId="4B36CF40" w14:textId="77777777" w:rsidR="00427A53" w:rsidRDefault="00000000">
      <w:pPr>
        <w:spacing w:after="240"/>
        <w:rPr>
          <w:b/>
          <w:bCs/>
          <w:sz w:val="24"/>
          <w:szCs w:val="24"/>
        </w:rPr>
      </w:pPr>
      <w:r>
        <w:rPr>
          <w:sz w:val="18"/>
          <w:szCs w:val="18"/>
        </w:rPr>
        <w:br/>
      </w:r>
      <w:r>
        <w:rPr>
          <w:sz w:val="18"/>
          <w:szCs w:val="18"/>
        </w:rPr>
        <w:br/>
      </w:r>
      <w:r>
        <w:rPr>
          <w:b/>
          <w:bCs/>
          <w:sz w:val="24"/>
          <w:szCs w:val="24"/>
        </w:rPr>
        <w:t>A Community-Driven Approach to Awareness and Support</w:t>
      </w:r>
    </w:p>
    <w:p w14:paraId="10B9AB49" w14:textId="77777777" w:rsidR="00427A53" w:rsidRDefault="00000000">
      <w:pPr>
        <w:spacing w:before="240" w:after="240"/>
        <w:rPr>
          <w:sz w:val="18"/>
          <w:szCs w:val="18"/>
        </w:rPr>
      </w:pPr>
      <w:r>
        <w:rPr>
          <w:sz w:val="18"/>
          <w:szCs w:val="18"/>
        </w:rPr>
        <w:t xml:space="preserve">Throughout March, </w:t>
      </w:r>
      <w:r>
        <w:rPr>
          <w:i/>
          <w:iCs/>
          <w:sz w:val="18"/>
          <w:szCs w:val="18"/>
        </w:rPr>
        <w:t>(Organization Name)</w:t>
      </w:r>
      <w:r>
        <w:rPr>
          <w:sz w:val="18"/>
          <w:szCs w:val="18"/>
        </w:rPr>
        <w:t xml:space="preserve"> will lead efforts focused </w:t>
      </w:r>
      <w:r>
        <w:rPr>
          <w:color w:val="121212"/>
          <w:sz w:val="18"/>
          <w:szCs w:val="18"/>
        </w:rPr>
        <w:t xml:space="preserve">on increasing public understanding of problem gambling and ensuring individuals are aware of the available prevention, education, treatment, and recovery services in their community. </w:t>
      </w:r>
      <w:r>
        <w:rPr>
          <w:sz w:val="18"/>
          <w:szCs w:val="18"/>
        </w:rPr>
        <w:t>Activities will include:</w:t>
      </w:r>
    </w:p>
    <w:p w14:paraId="3DECCB9D" w14:textId="77777777" w:rsidR="00427A53" w:rsidRDefault="00000000">
      <w:pPr>
        <w:numPr>
          <w:ilvl w:val="0"/>
          <w:numId w:val="1"/>
        </w:numPr>
        <w:spacing w:before="240"/>
        <w:rPr>
          <w:sz w:val="18"/>
          <w:szCs w:val="18"/>
        </w:rPr>
      </w:pPr>
      <w:r>
        <w:rPr>
          <w:b/>
          <w:bCs/>
          <w:sz w:val="18"/>
          <w:szCs w:val="18"/>
        </w:rPr>
        <w:t>(PGAM Activity #1)</w:t>
      </w:r>
      <w:r>
        <w:rPr>
          <w:sz w:val="18"/>
          <w:szCs w:val="18"/>
        </w:rPr>
        <w:t xml:space="preserve"> – e.g., Community conversations, education workshops, or local listening sessions</w:t>
      </w:r>
    </w:p>
    <w:p w14:paraId="404C1370" w14:textId="77777777" w:rsidR="00427A53" w:rsidRDefault="00000000">
      <w:pPr>
        <w:numPr>
          <w:ilvl w:val="0"/>
          <w:numId w:val="1"/>
        </w:numPr>
        <w:rPr>
          <w:sz w:val="18"/>
          <w:szCs w:val="18"/>
        </w:rPr>
      </w:pPr>
      <w:r>
        <w:rPr>
          <w:b/>
          <w:bCs/>
          <w:sz w:val="18"/>
          <w:szCs w:val="18"/>
        </w:rPr>
        <w:t>(PGAM Activity #2)</w:t>
      </w:r>
      <w:r>
        <w:rPr>
          <w:sz w:val="18"/>
          <w:szCs w:val="18"/>
        </w:rPr>
        <w:t xml:space="preserve"> – e.g., Problem Gambling Screening Day, resource fairs, or awareness events</w:t>
      </w:r>
    </w:p>
    <w:p w14:paraId="41927B84" w14:textId="77777777" w:rsidR="00427A53" w:rsidRDefault="00000000">
      <w:pPr>
        <w:numPr>
          <w:ilvl w:val="0"/>
          <w:numId w:val="1"/>
        </w:numPr>
        <w:spacing w:after="240"/>
        <w:rPr>
          <w:sz w:val="18"/>
          <w:szCs w:val="18"/>
        </w:rPr>
      </w:pPr>
      <w:r>
        <w:rPr>
          <w:b/>
          <w:bCs/>
          <w:sz w:val="18"/>
          <w:szCs w:val="18"/>
        </w:rPr>
        <w:lastRenderedPageBreak/>
        <w:t>(PGAM Activity #3)</w:t>
      </w:r>
      <w:r>
        <w:rPr>
          <w:sz w:val="18"/>
          <w:szCs w:val="18"/>
        </w:rPr>
        <w:t xml:space="preserve"> – e.g., </w:t>
      </w:r>
      <w:proofErr w:type="gramStart"/>
      <w:r>
        <w:rPr>
          <w:sz w:val="18"/>
          <w:szCs w:val="18"/>
        </w:rPr>
        <w:t>Social</w:t>
      </w:r>
      <w:proofErr w:type="gramEnd"/>
      <w:r>
        <w:rPr>
          <w:sz w:val="18"/>
          <w:szCs w:val="18"/>
        </w:rPr>
        <w:t xml:space="preserve"> media campaigns, storytelling projects, or webinars featuring local experts</w:t>
      </w:r>
    </w:p>
    <w:p w14:paraId="2B9949E6" w14:textId="77777777" w:rsidR="00427A53" w:rsidRDefault="00000000">
      <w:pPr>
        <w:spacing w:before="240" w:after="240"/>
        <w:rPr>
          <w:sz w:val="18"/>
          <w:szCs w:val="18"/>
        </w:rPr>
      </w:pPr>
      <w:r>
        <w:rPr>
          <w:sz w:val="18"/>
          <w:szCs w:val="18"/>
        </w:rPr>
        <w:t xml:space="preserve">These efforts reflect a simple truth: when community comes together — friends, families, educators, healthcare providers, local partners, and policymakers — silence is replaced with support, and isolation is replaced with connection. To learn more about problem gambling, please visit </w:t>
      </w:r>
      <w:hyperlink r:id="rId6">
        <w:r>
          <w:rPr>
            <w:b/>
            <w:bCs/>
            <w:color w:val="1155CC"/>
            <w:sz w:val="18"/>
            <w:szCs w:val="18"/>
            <w:u w:val="single"/>
          </w:rPr>
          <w:t>NCPGambling.org/FAQs</w:t>
        </w:r>
      </w:hyperlink>
    </w:p>
    <w:p w14:paraId="32B4D951" w14:textId="77777777" w:rsidR="00427A53" w:rsidRDefault="00000000">
      <w:pPr>
        <w:spacing w:before="240" w:after="240"/>
        <w:rPr>
          <w:sz w:val="18"/>
          <w:szCs w:val="18"/>
        </w:rPr>
      </w:pPr>
      <w:r>
        <w:rPr>
          <w:b/>
          <w:bCs/>
          <w:i/>
          <w:iCs/>
          <w:sz w:val="18"/>
          <w:szCs w:val="18"/>
        </w:rPr>
        <w:t>(Organization Name)</w:t>
      </w:r>
      <w:r>
        <w:rPr>
          <w:sz w:val="18"/>
          <w:szCs w:val="18"/>
        </w:rPr>
        <w:t xml:space="preserve"> encourages local media, partners, and residents to join the effort by sharing resources, uplifting stories of those in recovery, and helping connect people to available support.</w:t>
      </w:r>
    </w:p>
    <w:p w14:paraId="5F01CD51" w14:textId="77777777" w:rsidR="00427A53" w:rsidRDefault="00000000">
      <w:pPr>
        <w:spacing w:before="240" w:after="240"/>
        <w:rPr>
          <w:sz w:val="18"/>
          <w:szCs w:val="18"/>
        </w:rPr>
      </w:pPr>
      <w:r>
        <w:rPr>
          <w:sz w:val="18"/>
          <w:szCs w:val="18"/>
        </w:rPr>
        <w:t xml:space="preserve">If you or someone you know is struggling with a gambling problem, the </w:t>
      </w:r>
      <w:r>
        <w:rPr>
          <w:b/>
          <w:bCs/>
          <w:sz w:val="18"/>
          <w:szCs w:val="18"/>
        </w:rPr>
        <w:t>National Problem Gambling Helpline</w:t>
      </w:r>
      <w:r>
        <w:rPr>
          <w:b/>
          <w:bCs/>
          <w:sz w:val="18"/>
          <w:szCs w:val="18"/>
          <w:vertAlign w:val="superscript"/>
        </w:rPr>
        <w:t>TM</w:t>
      </w:r>
      <w:r>
        <w:rPr>
          <w:sz w:val="18"/>
          <w:szCs w:val="18"/>
        </w:rPr>
        <w:t xml:space="preserve"> offers free, confidential support 24/7:</w:t>
      </w:r>
    </w:p>
    <w:p w14:paraId="602C132E" w14:textId="54AD8514" w:rsidR="003D17C4" w:rsidRDefault="003D17C4">
      <w:pPr>
        <w:rPr>
          <w:sz w:val="18"/>
          <w:szCs w:val="18"/>
        </w:rPr>
      </w:pPr>
      <w:r>
        <w:rPr>
          <w:sz w:val="18"/>
          <w:szCs w:val="18"/>
        </w:rPr>
        <w:t>C</w:t>
      </w:r>
      <w:r w:rsidR="00000000">
        <w:rPr>
          <w:sz w:val="18"/>
          <w:szCs w:val="18"/>
        </w:rPr>
        <w:t xml:space="preserve">all </w:t>
      </w:r>
      <w:r>
        <w:rPr>
          <w:sz w:val="18"/>
          <w:szCs w:val="18"/>
        </w:rPr>
        <w:t>1-800-MY-RESET</w:t>
      </w:r>
    </w:p>
    <w:p w14:paraId="632E94E9" w14:textId="0FA87733" w:rsidR="00427A53" w:rsidRDefault="003D17C4">
      <w:pPr>
        <w:rPr>
          <w:b/>
          <w:bCs/>
          <w:color w:val="121212"/>
          <w:sz w:val="18"/>
          <w:szCs w:val="18"/>
          <w:u w:val="single"/>
        </w:rPr>
      </w:pPr>
      <w:r>
        <w:rPr>
          <w:sz w:val="18"/>
          <w:szCs w:val="18"/>
        </w:rPr>
        <w:t>T</w:t>
      </w:r>
      <w:r w:rsidR="00000000">
        <w:rPr>
          <w:sz w:val="18"/>
          <w:szCs w:val="18"/>
        </w:rPr>
        <w:t xml:space="preserve">ext </w:t>
      </w:r>
      <w:r w:rsidRPr="003D17C4">
        <w:rPr>
          <w:sz w:val="18"/>
          <w:szCs w:val="18"/>
        </w:rPr>
        <w:t>800GAM</w:t>
      </w:r>
      <w:r w:rsidR="00000000">
        <w:rPr>
          <w:b/>
          <w:bCs/>
          <w:sz w:val="18"/>
          <w:szCs w:val="18"/>
        </w:rPr>
        <w:br/>
      </w:r>
      <w:r w:rsidR="00000000">
        <w:rPr>
          <w:sz w:val="18"/>
          <w:szCs w:val="18"/>
        </w:rPr>
        <w:t>Chat at</w:t>
      </w:r>
      <w:hyperlink r:id="rId7">
        <w:r w:rsidR="00000000">
          <w:rPr>
            <w:sz w:val="18"/>
            <w:szCs w:val="18"/>
          </w:rPr>
          <w:t xml:space="preserve"> </w:t>
        </w:r>
      </w:hyperlink>
      <w:hyperlink r:id="rId8">
        <w:r w:rsidR="00000000">
          <w:rPr>
            <w:b/>
            <w:bCs/>
            <w:color w:val="1155CC"/>
            <w:sz w:val="18"/>
            <w:szCs w:val="18"/>
            <w:u w:val="single"/>
          </w:rPr>
          <w:t>www.NCPGambling.org/chat</w:t>
        </w:r>
      </w:hyperlink>
      <w:r w:rsidR="00000000">
        <w:rPr>
          <w:b/>
          <w:bCs/>
          <w:color w:val="121212"/>
          <w:sz w:val="18"/>
          <w:szCs w:val="18"/>
          <w:u w:val="single"/>
        </w:rPr>
        <w:t>.</w:t>
      </w:r>
      <w:r w:rsidR="00000000">
        <w:rPr>
          <w:b/>
          <w:bCs/>
          <w:color w:val="121212"/>
          <w:sz w:val="18"/>
          <w:szCs w:val="18"/>
          <w:u w:val="single"/>
        </w:rPr>
        <w:br/>
      </w:r>
    </w:p>
    <w:p w14:paraId="0D138B7C" w14:textId="77777777" w:rsidR="00427A53" w:rsidRDefault="00000000">
      <w:pPr>
        <w:rPr>
          <w:b/>
          <w:bCs/>
          <w:color w:val="121212"/>
          <w:sz w:val="18"/>
          <w:szCs w:val="18"/>
          <w:u w:val="single"/>
        </w:rPr>
      </w:pPr>
      <w:r>
        <w:rPr>
          <w:b/>
          <w:bCs/>
          <w:color w:val="121212"/>
          <w:sz w:val="18"/>
          <w:szCs w:val="18"/>
          <w:u w:val="single"/>
        </w:rPr>
        <w:br/>
      </w:r>
    </w:p>
    <w:sectPr w:rsidR="00427A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321EC5-74D7-4B4E-BEC9-5EEA414724E4}"/>
  </w:font>
  <w:font w:name="Cambria">
    <w:panose1 w:val="02040503050406030204"/>
    <w:charset w:val="00"/>
    <w:family w:val="roman"/>
    <w:pitch w:val="variable"/>
    <w:sig w:usb0="E00006FF" w:usb1="420024FF" w:usb2="02000000" w:usb3="00000000" w:csb0="0000019F" w:csb1="00000000"/>
    <w:embedRegular r:id="rId2" w:fontKey="{ADEE5DA1-10D3-4A2A-9E43-81EAB6308E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4A4988"/>
    <w:multiLevelType w:val="multilevel"/>
    <w:tmpl w:val="BC4EA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7715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A53"/>
    <w:rsid w:val="003D17C4"/>
    <w:rsid w:val="00427A53"/>
    <w:rsid w:val="00465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5EAE"/>
  <w15:docId w15:val="{A288B223-1977-45C5-9D14-F9A4554E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cpgambling.org/chat" TargetMode="External"/><Relationship Id="rId3" Type="http://schemas.openxmlformats.org/officeDocument/2006/relationships/settings" Target="settings.xml"/><Relationship Id="rId7" Type="http://schemas.openxmlformats.org/officeDocument/2006/relationships/hyperlink" Target="http://www.1800gamblercha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cpgambling.org/FAQ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2657</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 Huble</dc:creator>
  <cp:lastModifiedBy>Cait Huble</cp:lastModifiedBy>
  <cp:revision>2</cp:revision>
  <dcterms:created xsi:type="dcterms:W3CDTF">2026-02-08T00:30:00Z</dcterms:created>
  <dcterms:modified xsi:type="dcterms:W3CDTF">2026-02-08T00:30:00Z</dcterms:modified>
</cp:coreProperties>
</file>